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33B03">
      <w:pPr>
        <w:rPr>
          <w:rFonts w:hint="eastAsia"/>
        </w:rPr>
      </w:pPr>
      <w:r>
        <w:rPr>
          <w:rFonts w:hint="eastAsia"/>
        </w:rPr>
        <w:t>《企业国有资产交易操作规则》内容解读</w:t>
      </w:r>
    </w:p>
    <w:p w14:paraId="4CB116C9">
      <w:pPr>
        <w:rPr>
          <w:rFonts w:hint="eastAsia"/>
        </w:rPr>
      </w:pPr>
    </w:p>
    <w:p w14:paraId="211EA5CA">
      <w:pPr>
        <w:rPr>
          <w:rFonts w:hint="eastAsia"/>
        </w:rPr>
      </w:pPr>
    </w:p>
    <w:p w14:paraId="3807AAEC">
      <w:pPr>
        <w:rPr>
          <w:rFonts w:hint="eastAsia"/>
        </w:rPr>
      </w:pPr>
      <w:r>
        <w:rPr>
          <w:rFonts w:hint="eastAsia"/>
        </w:rPr>
        <w:t>《企业国有资产交易操作规则》（国资发产权规〔2025〕17号）对企业国有资产交易行为进行了详细规范，以下是部分重点内容解读：</w:t>
      </w:r>
    </w:p>
    <w:p w14:paraId="703E9829">
      <w:pPr>
        <w:rPr>
          <w:rFonts w:hint="eastAsia"/>
        </w:rPr>
      </w:pPr>
    </w:p>
    <w:p w14:paraId="4CB4CAA2">
      <w:pPr>
        <w:rPr>
          <w:rFonts w:hint="eastAsia"/>
        </w:rPr>
      </w:pPr>
      <w:r>
        <w:rPr>
          <w:rFonts w:hint="eastAsia"/>
        </w:rPr>
        <w:t>强化交易规范性</w:t>
      </w:r>
    </w:p>
    <w:p w14:paraId="2E156E72">
      <w:pPr>
        <w:rPr>
          <w:rFonts w:hint="eastAsia"/>
        </w:rPr>
      </w:pPr>
    </w:p>
    <w:p w14:paraId="03BFB8BB">
      <w:pPr>
        <w:rPr>
          <w:rFonts w:hint="eastAsia"/>
        </w:rPr>
      </w:pPr>
      <w:r>
        <w:rPr>
          <w:rFonts w:hint="eastAsia"/>
        </w:rPr>
        <w:t>• 明确禁止性规定：第30条和第69条分别对产权转让类交易合同和增资协议的条款作出禁止性规定，严禁约定股权回购、利益补偿、股权代持、名股实债等内容，防止国有资产流失，增强交易规范性。</w:t>
      </w:r>
    </w:p>
    <w:p w14:paraId="79C68811">
      <w:pPr>
        <w:rPr>
          <w:rFonts w:hint="eastAsia"/>
        </w:rPr>
      </w:pPr>
      <w:bookmarkStart w:id="0" w:name="_GoBack"/>
      <w:bookmarkEnd w:id="0"/>
    </w:p>
    <w:p w14:paraId="3694FF59">
      <w:pPr>
        <w:rPr>
          <w:rFonts w:hint="eastAsia"/>
        </w:rPr>
      </w:pPr>
      <w:r>
        <w:rPr>
          <w:rFonts w:hint="eastAsia"/>
        </w:rPr>
        <w:t>• 稳定交易条件和价格：规定不得以交易期间企业经营性损益等理由对已达成的交易条件和交易价格进行调整，防止暗箱操作，保障交易公平性。</w:t>
      </w:r>
    </w:p>
    <w:p w14:paraId="15142CDC">
      <w:pPr>
        <w:rPr>
          <w:rFonts w:hint="eastAsia"/>
        </w:rPr>
      </w:pPr>
    </w:p>
    <w:p w14:paraId="602EDFEF">
      <w:pPr>
        <w:rPr>
          <w:rFonts w:hint="eastAsia"/>
        </w:rPr>
      </w:pPr>
      <w:r>
        <w:rPr>
          <w:rFonts w:hint="eastAsia"/>
        </w:rPr>
        <w:t>优化交易流程与细节</w:t>
      </w:r>
    </w:p>
    <w:p w14:paraId="2D9152E0">
      <w:pPr>
        <w:rPr>
          <w:rFonts w:hint="eastAsia"/>
        </w:rPr>
      </w:pPr>
    </w:p>
    <w:p w14:paraId="4B15381A">
      <w:pPr>
        <w:rPr>
          <w:rFonts w:hint="eastAsia"/>
        </w:rPr>
      </w:pPr>
      <w:r>
        <w:rPr>
          <w:rFonts w:hint="eastAsia"/>
        </w:rPr>
        <w:t>• 信息披露要求严格：对产权转让和企业增资的信息披露期限、内容变更等作出细致规定，如产权转让正式披露公告时间不少于20个工作日，特殊情况变更公告需满足一定条件和时间要求，以保证信息公开透明。</w:t>
      </w:r>
    </w:p>
    <w:p w14:paraId="396954F5">
      <w:pPr>
        <w:rPr>
          <w:rFonts w:hint="eastAsia"/>
        </w:rPr>
      </w:pPr>
    </w:p>
    <w:p w14:paraId="4431B063">
      <w:pPr>
        <w:rPr>
          <w:rFonts w:hint="eastAsia"/>
        </w:rPr>
      </w:pPr>
      <w:r>
        <w:rPr>
          <w:rFonts w:hint="eastAsia"/>
        </w:rPr>
        <w:t>• 保证金与价款结算规范：明确交易资金以人民币计价，通过指定结算账户结算，对交易保证金的交纳、处置以及交易价款的支付方式、期限等都有具体要求，保障交易资金安全和流转秩序。</w:t>
      </w:r>
    </w:p>
    <w:p w14:paraId="60C2E27C">
      <w:pPr>
        <w:rPr>
          <w:rFonts w:hint="eastAsia"/>
        </w:rPr>
      </w:pPr>
    </w:p>
    <w:p w14:paraId="086ECC36">
      <w:pPr>
        <w:rPr>
          <w:rFonts w:hint="eastAsia"/>
        </w:rPr>
      </w:pPr>
      <w:r>
        <w:rPr>
          <w:rFonts w:hint="eastAsia"/>
        </w:rPr>
        <w:t>• 资产转让价款支付灵活：首次明确国有企业资产转让交易价款在一次性付清的原则下，确有困难时，经国家出资企业同意，可参照国有企业产权转让相关规定采取分期付款方式，提高大额资产转让灵活性，促进资产优化配置。</w:t>
      </w:r>
    </w:p>
    <w:p w14:paraId="19A57457">
      <w:pPr>
        <w:rPr>
          <w:rFonts w:hint="eastAsia"/>
        </w:rPr>
      </w:pPr>
    </w:p>
    <w:p w14:paraId="0DB15818">
      <w:pPr>
        <w:rPr>
          <w:rFonts w:hint="eastAsia"/>
        </w:rPr>
      </w:pPr>
      <w:r>
        <w:rPr>
          <w:rFonts w:hint="eastAsia"/>
        </w:rPr>
        <w:t>细化交易决策与批准程序</w:t>
      </w:r>
    </w:p>
    <w:p w14:paraId="598CB1BD">
      <w:pPr>
        <w:rPr>
          <w:rFonts w:hint="eastAsia"/>
        </w:rPr>
      </w:pPr>
    </w:p>
    <w:p w14:paraId="6BA24FB1">
      <w:pPr>
        <w:rPr>
          <w:rFonts w:hint="eastAsia"/>
        </w:rPr>
      </w:pPr>
      <w:r>
        <w:rPr>
          <w:rFonts w:hint="eastAsia"/>
        </w:rPr>
        <w:t>• 强调内部决策：要求转让方和增资企业制定相关方案，履行内部决策程序并形成书面决议，确保交易行为经过充分研究和决策。</w:t>
      </w:r>
    </w:p>
    <w:p w14:paraId="7F6E851F">
      <w:pPr>
        <w:rPr>
          <w:rFonts w:hint="eastAsia"/>
        </w:rPr>
      </w:pPr>
    </w:p>
    <w:p w14:paraId="2E1A7F59">
      <w:r>
        <w:rPr>
          <w:rFonts w:hint="eastAsia"/>
        </w:rPr>
        <w:t>• 规范审核流程：对产权交易机构审核意向受让方或投资方材料、增资企业及其批准单位对意向投资方确认意见的回复等流程进行规范，保障交易流程的合规性和公正性。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C2F3D"/>
    <w:rsid w:val="390C2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2025-06-24T07:29:00Z</dcterms:created>
  <dc:creator>li</dc:creator>
  <cp:lastModifiedBy>li</cp:lastModifiedBy>
  <dcterms:modified xsi:type="dcterms:W3CDTF">2025-06-24T07:31:18Z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CA8E4F566AC44A768DA756190BDE21DC_11</vt:lpwstr>
  </property>
  <property fmtid="{D5CDD505-2E9C-101B-9397-08002B2CF9AE}" pid="4" name="KSOTemplateDocerSaveRecord">
    <vt:lpwstr>eyJoZGlkIjoiMTNmMDNmZDRkYTAyOGMwMzAwNWQ1MzEwNTc5MzNlNTgiLCJ1c2VySWQiOiIzNzk2NjI0NjMifQ==</vt:lpwstr>
  </property>
</Properties>
</file>