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长春经济技术开发区关于鼓励招商引资促进项目建设的政策</w:t>
      </w:r>
    </w:p>
    <w:p/>
    <w:p>
      <w:bookmarkStart w:id="0" w:name="_GoBack"/>
      <w:bookmarkEnd w:id="0"/>
    </w:p>
    <w:p>
      <w:pPr>
        <w:spacing w:line="560" w:lineRule="exact"/>
        <w:ind w:left="0" w:leftChars="0" w:firstLine="640" w:firstLineChars="200"/>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一、购地类项目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对总投资1亿元以上的购地类项目，按固定资产投资总额相应标准给予奖励。其中世界500强项目奖励标准相应上浮。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二、租厂房类项目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租用经开区所属厂房类项目，实施项目落位租金减免政策，根据单位面积投资强度和投资协议履约情况，给予企业租金减免，累计不超过1000万元的租金补助。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对于轻资产进驻的符合经开区产业方向的战略性新兴产业项目，根据企业单位面积贡献（营业收入或综合经济贡献），给予租金减免；对研发类（企业及研发机构）和平台类（公共服务平台及孵化平台）项目，根据研发成果或单位面积贡献给予租金减免，对经过管委会认定的研发类和平台类项目，给予装修补贴或企业拎包入住服务，最高不超过400万元；对双创类、孵化类、国际贸易类等轻资产企业，经第三方评估后给予企业租金减免。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三、股权基金或金融机构项目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鼓励股权基金发挥产业支撑作用。对在经开区设立股权投资基金和各类金融机构，并在区内开展业务的，经管委会认定,对股权基金公司高管按年度个人区级经济贡献，连续三年给予奖励；通过股权基金、金融机构投资吸引区外企业到经开区落位,且经管委会认定的，予以股权基金或金融机构最高不超过100万元人民币资金奖励。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四、附则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（一）本政策对外整体由长春经济技术开发区商务局负责解释。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（二）对发生重大环境污染违法违规行为的企业实行 “环保”一票否决。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（三）本政策条款除特殊说明外仅适用于在经开区内具有独立法人资格的企业（适用政策企业的认定标准由经开区管委会另行确定）。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（四）兑现流程按新修订的《长春经济技术开发区招商引资政策兑现流程》规定执行，政策中另有规定的除外。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（五）战略性新兴产业包括：新能源汽车、智能网联汽车、大数据、生物医药、光电信息、智能装备制造。战略性新兴产业由三人以上专家进行评审认定。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（六）兑付应遵循最小化原则，即采用（包括但不限于）审计报告、投资协议、统计平台、税务报表中的最小值数据作为计算兑付金额的依据。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（七）根据需要所发生的项目（企业）审计费用，由管委会出资，初审部门列支专项经费，并委托经认定的第三方机构进行专项审计并出具审计报告。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（八）申报材料中企业增值税纳税申报表由税务部门盖章后生效。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（九）以上政策原则上不兼得，同类不叠加、就高不就低、不重复奖励。特殊项目或重大项目，可实行一事一议。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（十）本政策原则上一年修订一次。 </w:t>
      </w:r>
    </w:p>
    <w:p>
      <w:pPr>
        <w:spacing w:line="560" w:lineRule="exact"/>
        <w:jc w:val="left"/>
        <w:rPr>
          <w:rFonts w:hint="eastAsia" w:ascii="仿宋_GB2312" w:eastAsia="仿宋_GB2312" w:cs="仿宋"/>
          <w:color w:val="000000" w:themeColor="text1"/>
          <w:sz w:val="32"/>
          <w:szCs w:val="32"/>
          <w14:textFill>
            <w14:solidFill>
              <w14:schemeClr w14:val="tx1"/>
            </w14:solidFill>
          </w14:textFill>
        </w:rPr>
      </w:pPr>
    </w:p>
    <w:p>
      <w:pPr>
        <w:spacing w:line="560" w:lineRule="exact"/>
        <w:jc w:val="left"/>
        <w:rPr>
          <w:rFonts w:ascii="仿宋_GB2312" w:eastAsia="仿宋_GB2312" w:cs="仿宋"/>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　　（十一）本政策自正式发布之日起开始执行。本政策执行之前的其他政策如与本政策内容相冲突的，应以本政策内容为准。但对本政策执行之前，已经发生且符合原政策给付条件的，按照原政策继续执行。 </w:t>
      </w:r>
    </w:p>
    <w:sectPr>
      <w:footerReference r:id="rId3" w:type="default"/>
      <w:footerReference r:id="rId4" w:type="even"/>
      <w:pgSz w:w="11906" w:h="16838"/>
      <w:pgMar w:top="1440" w:right="1800" w:bottom="1440" w:left="1800"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2951376"/>
      <w:docPartObj>
        <w:docPartGallery w:val="autotext"/>
      </w:docPartObj>
    </w:sdtPr>
    <w:sdtEndPr>
      <w:rPr>
        <w:rFonts w:asciiTheme="minorEastAsia" w:hAnsiTheme="minorEastAsia" w:eastAsiaTheme="minorEastAsia"/>
        <w:sz w:val="24"/>
        <w:szCs w:val="24"/>
      </w:rPr>
    </w:sdtEndPr>
    <w:sdtContent>
      <w:p>
        <w:pPr>
          <w:pStyle w:val="5"/>
          <w:jc w:val="right"/>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3 -</w:t>
        </w:r>
        <w:r>
          <w:rPr>
            <w:rFonts w:asciiTheme="minorEastAsia" w:hAnsiTheme="minorEastAsia" w:eastAsiaTheme="min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2951381"/>
      <w:docPartObj>
        <w:docPartGallery w:val="autotext"/>
      </w:docPartObj>
    </w:sdtPr>
    <w:sdtEndPr>
      <w:rPr>
        <w:rFonts w:asciiTheme="minorEastAsia" w:hAnsiTheme="minorEastAsia" w:eastAsiaTheme="minorEastAsia"/>
        <w:sz w:val="24"/>
        <w:szCs w:val="24"/>
      </w:rPr>
    </w:sdtEndPr>
    <w:sdtContent>
      <w:p>
        <w:pPr>
          <w:pStyle w:val="5"/>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4 -</w:t>
        </w:r>
        <w:r>
          <w:rPr>
            <w:rFonts w:asciiTheme="minorEastAsia" w:hAnsiTheme="minorEastAsia" w:eastAsiaTheme="minorEastAsia"/>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5MmEzNmMyM2U1OTNmOTM5NGI4YmFiNDRkOTM3MWUifQ=="/>
  </w:docVars>
  <w:rsids>
    <w:rsidRoot w:val="00A864B0"/>
    <w:rsid w:val="00012CB2"/>
    <w:rsid w:val="0002007A"/>
    <w:rsid w:val="00020425"/>
    <w:rsid w:val="00030C8D"/>
    <w:rsid w:val="0003560D"/>
    <w:rsid w:val="00056D9D"/>
    <w:rsid w:val="00067837"/>
    <w:rsid w:val="000772A2"/>
    <w:rsid w:val="00085BD8"/>
    <w:rsid w:val="000C66DA"/>
    <w:rsid w:val="000E47F0"/>
    <w:rsid w:val="000E736E"/>
    <w:rsid w:val="000F1444"/>
    <w:rsid w:val="000F4CD1"/>
    <w:rsid w:val="001029F3"/>
    <w:rsid w:val="00112FD7"/>
    <w:rsid w:val="00121B3B"/>
    <w:rsid w:val="00125450"/>
    <w:rsid w:val="00131917"/>
    <w:rsid w:val="00141BB8"/>
    <w:rsid w:val="00141DD3"/>
    <w:rsid w:val="001524B2"/>
    <w:rsid w:val="001571B7"/>
    <w:rsid w:val="00161E4C"/>
    <w:rsid w:val="00164C4F"/>
    <w:rsid w:val="001710F0"/>
    <w:rsid w:val="00176506"/>
    <w:rsid w:val="001815F5"/>
    <w:rsid w:val="001843E2"/>
    <w:rsid w:val="00185D84"/>
    <w:rsid w:val="00185E47"/>
    <w:rsid w:val="00193075"/>
    <w:rsid w:val="001A178F"/>
    <w:rsid w:val="001B539A"/>
    <w:rsid w:val="001D1B9F"/>
    <w:rsid w:val="001E25D1"/>
    <w:rsid w:val="001F6872"/>
    <w:rsid w:val="00235757"/>
    <w:rsid w:val="00244441"/>
    <w:rsid w:val="00246282"/>
    <w:rsid w:val="0025095A"/>
    <w:rsid w:val="00251228"/>
    <w:rsid w:val="0026275D"/>
    <w:rsid w:val="002658F2"/>
    <w:rsid w:val="00265FA5"/>
    <w:rsid w:val="00266DC1"/>
    <w:rsid w:val="00270581"/>
    <w:rsid w:val="002847D9"/>
    <w:rsid w:val="002873EB"/>
    <w:rsid w:val="00293B15"/>
    <w:rsid w:val="00294582"/>
    <w:rsid w:val="002A55B2"/>
    <w:rsid w:val="002C3094"/>
    <w:rsid w:val="002C5BCE"/>
    <w:rsid w:val="002D1B4F"/>
    <w:rsid w:val="002F459C"/>
    <w:rsid w:val="00323083"/>
    <w:rsid w:val="00330473"/>
    <w:rsid w:val="003512B4"/>
    <w:rsid w:val="00364DA4"/>
    <w:rsid w:val="00365686"/>
    <w:rsid w:val="0037259C"/>
    <w:rsid w:val="003B25FC"/>
    <w:rsid w:val="003B6C11"/>
    <w:rsid w:val="003D2C85"/>
    <w:rsid w:val="003E07BF"/>
    <w:rsid w:val="003E0C8E"/>
    <w:rsid w:val="003E3742"/>
    <w:rsid w:val="003F6E18"/>
    <w:rsid w:val="004026A4"/>
    <w:rsid w:val="004170E3"/>
    <w:rsid w:val="00432FE0"/>
    <w:rsid w:val="00460527"/>
    <w:rsid w:val="00467007"/>
    <w:rsid w:val="0047364D"/>
    <w:rsid w:val="00475BC1"/>
    <w:rsid w:val="004853F0"/>
    <w:rsid w:val="004924DC"/>
    <w:rsid w:val="004A20BE"/>
    <w:rsid w:val="004B4324"/>
    <w:rsid w:val="004C62EB"/>
    <w:rsid w:val="004D7451"/>
    <w:rsid w:val="004D7B76"/>
    <w:rsid w:val="00513149"/>
    <w:rsid w:val="00517B4A"/>
    <w:rsid w:val="00540887"/>
    <w:rsid w:val="00541AF4"/>
    <w:rsid w:val="0054488F"/>
    <w:rsid w:val="005524EB"/>
    <w:rsid w:val="00564753"/>
    <w:rsid w:val="0056794A"/>
    <w:rsid w:val="005752EC"/>
    <w:rsid w:val="0058186E"/>
    <w:rsid w:val="00591806"/>
    <w:rsid w:val="005A0F2F"/>
    <w:rsid w:val="005D33A7"/>
    <w:rsid w:val="005D5463"/>
    <w:rsid w:val="005D78C1"/>
    <w:rsid w:val="005E210F"/>
    <w:rsid w:val="005E50DD"/>
    <w:rsid w:val="005F00B2"/>
    <w:rsid w:val="005F308B"/>
    <w:rsid w:val="005F6B38"/>
    <w:rsid w:val="005F7C58"/>
    <w:rsid w:val="00620845"/>
    <w:rsid w:val="00622C60"/>
    <w:rsid w:val="006241C1"/>
    <w:rsid w:val="00644BA4"/>
    <w:rsid w:val="00645742"/>
    <w:rsid w:val="00645C22"/>
    <w:rsid w:val="00650010"/>
    <w:rsid w:val="00654221"/>
    <w:rsid w:val="006621D0"/>
    <w:rsid w:val="00664D08"/>
    <w:rsid w:val="00692D5B"/>
    <w:rsid w:val="00697909"/>
    <w:rsid w:val="006A74EA"/>
    <w:rsid w:val="006B6ADF"/>
    <w:rsid w:val="006E10B9"/>
    <w:rsid w:val="006E3D1D"/>
    <w:rsid w:val="006F1226"/>
    <w:rsid w:val="006F201A"/>
    <w:rsid w:val="006F5D55"/>
    <w:rsid w:val="00711FA7"/>
    <w:rsid w:val="007148E2"/>
    <w:rsid w:val="00731AD8"/>
    <w:rsid w:val="00734A0B"/>
    <w:rsid w:val="00736BF8"/>
    <w:rsid w:val="007406E3"/>
    <w:rsid w:val="00752458"/>
    <w:rsid w:val="00755B09"/>
    <w:rsid w:val="007642FE"/>
    <w:rsid w:val="00775EC4"/>
    <w:rsid w:val="007761A0"/>
    <w:rsid w:val="007841E0"/>
    <w:rsid w:val="00792913"/>
    <w:rsid w:val="007A0B8E"/>
    <w:rsid w:val="007A1A7B"/>
    <w:rsid w:val="007A5E35"/>
    <w:rsid w:val="007C1734"/>
    <w:rsid w:val="007C1F6D"/>
    <w:rsid w:val="007E1214"/>
    <w:rsid w:val="007F5CA6"/>
    <w:rsid w:val="00802E5E"/>
    <w:rsid w:val="00805F10"/>
    <w:rsid w:val="00840E8D"/>
    <w:rsid w:val="00846E74"/>
    <w:rsid w:val="008514BB"/>
    <w:rsid w:val="00853BAC"/>
    <w:rsid w:val="00854FFC"/>
    <w:rsid w:val="00855291"/>
    <w:rsid w:val="00855B94"/>
    <w:rsid w:val="0085788A"/>
    <w:rsid w:val="00861345"/>
    <w:rsid w:val="0086550C"/>
    <w:rsid w:val="00877580"/>
    <w:rsid w:val="00890B65"/>
    <w:rsid w:val="00891F59"/>
    <w:rsid w:val="008A248D"/>
    <w:rsid w:val="008A6D20"/>
    <w:rsid w:val="008C03EF"/>
    <w:rsid w:val="008C10F2"/>
    <w:rsid w:val="008C3744"/>
    <w:rsid w:val="008C6ABD"/>
    <w:rsid w:val="008D0DC2"/>
    <w:rsid w:val="008E0D63"/>
    <w:rsid w:val="008E3F76"/>
    <w:rsid w:val="008E6B9F"/>
    <w:rsid w:val="008F68B0"/>
    <w:rsid w:val="00902A2C"/>
    <w:rsid w:val="00904D31"/>
    <w:rsid w:val="009067AC"/>
    <w:rsid w:val="00917F09"/>
    <w:rsid w:val="00920FC4"/>
    <w:rsid w:val="00927954"/>
    <w:rsid w:val="009325FE"/>
    <w:rsid w:val="00932B90"/>
    <w:rsid w:val="009338C6"/>
    <w:rsid w:val="0093742C"/>
    <w:rsid w:val="00943773"/>
    <w:rsid w:val="00950590"/>
    <w:rsid w:val="00951BCB"/>
    <w:rsid w:val="00953243"/>
    <w:rsid w:val="00962B48"/>
    <w:rsid w:val="00965826"/>
    <w:rsid w:val="00966A9A"/>
    <w:rsid w:val="009827EE"/>
    <w:rsid w:val="00983D65"/>
    <w:rsid w:val="009931E3"/>
    <w:rsid w:val="0099437A"/>
    <w:rsid w:val="009C0833"/>
    <w:rsid w:val="009D16D9"/>
    <w:rsid w:val="009D4452"/>
    <w:rsid w:val="009E3918"/>
    <w:rsid w:val="009E4144"/>
    <w:rsid w:val="009E6381"/>
    <w:rsid w:val="009E772A"/>
    <w:rsid w:val="009F106D"/>
    <w:rsid w:val="009F1301"/>
    <w:rsid w:val="00A07DD0"/>
    <w:rsid w:val="00A17107"/>
    <w:rsid w:val="00A25EBD"/>
    <w:rsid w:val="00A35737"/>
    <w:rsid w:val="00A45EA7"/>
    <w:rsid w:val="00A5755E"/>
    <w:rsid w:val="00A62AD0"/>
    <w:rsid w:val="00A864B0"/>
    <w:rsid w:val="00A90A35"/>
    <w:rsid w:val="00A94531"/>
    <w:rsid w:val="00AB2917"/>
    <w:rsid w:val="00AC7DE0"/>
    <w:rsid w:val="00AE7F68"/>
    <w:rsid w:val="00AF053B"/>
    <w:rsid w:val="00AF57DB"/>
    <w:rsid w:val="00B16E3D"/>
    <w:rsid w:val="00B2522C"/>
    <w:rsid w:val="00B26627"/>
    <w:rsid w:val="00B267BF"/>
    <w:rsid w:val="00B34AEF"/>
    <w:rsid w:val="00B409CD"/>
    <w:rsid w:val="00B41180"/>
    <w:rsid w:val="00B53E9C"/>
    <w:rsid w:val="00B6007A"/>
    <w:rsid w:val="00B70025"/>
    <w:rsid w:val="00B70560"/>
    <w:rsid w:val="00B729E9"/>
    <w:rsid w:val="00BA318D"/>
    <w:rsid w:val="00BA4A61"/>
    <w:rsid w:val="00BD1921"/>
    <w:rsid w:val="00BD2CCC"/>
    <w:rsid w:val="00BD46FB"/>
    <w:rsid w:val="00BF2776"/>
    <w:rsid w:val="00C033E3"/>
    <w:rsid w:val="00C1445E"/>
    <w:rsid w:val="00C1774F"/>
    <w:rsid w:val="00C22669"/>
    <w:rsid w:val="00C256BA"/>
    <w:rsid w:val="00C30237"/>
    <w:rsid w:val="00C32F42"/>
    <w:rsid w:val="00C3501B"/>
    <w:rsid w:val="00C75D06"/>
    <w:rsid w:val="00C76A1D"/>
    <w:rsid w:val="00C9128E"/>
    <w:rsid w:val="00C92938"/>
    <w:rsid w:val="00CA084E"/>
    <w:rsid w:val="00CA2EC7"/>
    <w:rsid w:val="00CB054D"/>
    <w:rsid w:val="00CD0E70"/>
    <w:rsid w:val="00CD3263"/>
    <w:rsid w:val="00CE5213"/>
    <w:rsid w:val="00D0063B"/>
    <w:rsid w:val="00D010C9"/>
    <w:rsid w:val="00D15FBB"/>
    <w:rsid w:val="00D178F8"/>
    <w:rsid w:val="00D21B6C"/>
    <w:rsid w:val="00D233A2"/>
    <w:rsid w:val="00D26643"/>
    <w:rsid w:val="00D60FBB"/>
    <w:rsid w:val="00D661A5"/>
    <w:rsid w:val="00D76CC8"/>
    <w:rsid w:val="00D8398B"/>
    <w:rsid w:val="00D917B0"/>
    <w:rsid w:val="00D9396A"/>
    <w:rsid w:val="00DB6D8F"/>
    <w:rsid w:val="00DE3020"/>
    <w:rsid w:val="00E073C4"/>
    <w:rsid w:val="00E1641F"/>
    <w:rsid w:val="00E36569"/>
    <w:rsid w:val="00E728B1"/>
    <w:rsid w:val="00E91AA0"/>
    <w:rsid w:val="00E9265E"/>
    <w:rsid w:val="00EB22C2"/>
    <w:rsid w:val="00EC1AFE"/>
    <w:rsid w:val="00EE7459"/>
    <w:rsid w:val="00EF3347"/>
    <w:rsid w:val="00EF4DA0"/>
    <w:rsid w:val="00F01B85"/>
    <w:rsid w:val="00F153E0"/>
    <w:rsid w:val="00F300CE"/>
    <w:rsid w:val="00F344F3"/>
    <w:rsid w:val="00F34EAE"/>
    <w:rsid w:val="00F40E8D"/>
    <w:rsid w:val="00F4619A"/>
    <w:rsid w:val="00F5580B"/>
    <w:rsid w:val="00F83576"/>
    <w:rsid w:val="00F8596C"/>
    <w:rsid w:val="00F87DA3"/>
    <w:rsid w:val="00F93525"/>
    <w:rsid w:val="00FA69BF"/>
    <w:rsid w:val="00FA753D"/>
    <w:rsid w:val="00FC3D96"/>
    <w:rsid w:val="00FE3976"/>
    <w:rsid w:val="00FF33E9"/>
    <w:rsid w:val="00FF4602"/>
    <w:rsid w:val="00FF462C"/>
    <w:rsid w:val="00FF76C7"/>
    <w:rsid w:val="36C144DD"/>
    <w:rsid w:val="60BE31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link w:val="13"/>
    <w:qFormat/>
    <w:uiPriority w:val="99"/>
    <w:pPr>
      <w:widowControl/>
      <w:spacing w:before="100" w:beforeAutospacing="1" w:after="100" w:afterAutospacing="1"/>
      <w:jc w:val="left"/>
      <w:outlineLvl w:val="2"/>
    </w:pPr>
    <w:rPr>
      <w:rFonts w:ascii="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uiPriority w:val="99"/>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Times New Roman" w:cs="宋体"/>
      <w:kern w:val="0"/>
      <w:sz w:val="24"/>
    </w:rPr>
  </w:style>
  <w:style w:type="paragraph" w:styleId="8">
    <w:name w:val="Title"/>
    <w:basedOn w:val="1"/>
    <w:next w:val="1"/>
    <w:link w:val="16"/>
    <w:qFormat/>
    <w:uiPriority w:val="99"/>
    <w:pPr>
      <w:spacing w:before="240" w:after="60"/>
      <w:jc w:val="center"/>
      <w:outlineLvl w:val="0"/>
    </w:pPr>
    <w:rPr>
      <w:rFonts w:ascii="等线 Light" w:hAnsi="等线 Light"/>
      <w:b/>
      <w:bCs/>
      <w:sz w:val="32"/>
      <w:szCs w:val="32"/>
    </w:rPr>
  </w:style>
  <w:style w:type="character" w:styleId="11">
    <w:name w:val="Emphasis"/>
    <w:basedOn w:val="10"/>
    <w:qFormat/>
    <w:uiPriority w:val="99"/>
    <w:rPr>
      <w:rFonts w:cs="Times New Roman"/>
      <w:i/>
    </w:rPr>
  </w:style>
  <w:style w:type="character" w:styleId="12">
    <w:name w:val="Hyperlink"/>
    <w:basedOn w:val="10"/>
    <w:uiPriority w:val="99"/>
    <w:rPr>
      <w:rFonts w:cs="Times New Roman"/>
      <w:color w:val="0000FF"/>
      <w:u w:val="single"/>
    </w:rPr>
  </w:style>
  <w:style w:type="character" w:customStyle="1" w:styleId="13">
    <w:name w:val="标题 3 字符"/>
    <w:basedOn w:val="10"/>
    <w:link w:val="3"/>
    <w:semiHidden/>
    <w:uiPriority w:val="9"/>
    <w:rPr>
      <w:rFonts w:ascii="Calibri" w:hAnsi="Calibri"/>
      <w:b/>
      <w:bCs/>
      <w:sz w:val="32"/>
      <w:szCs w:val="32"/>
    </w:rPr>
  </w:style>
  <w:style w:type="character" w:customStyle="1" w:styleId="14">
    <w:name w:val="页眉 字符"/>
    <w:basedOn w:val="10"/>
    <w:link w:val="6"/>
    <w:semiHidden/>
    <w:qFormat/>
    <w:uiPriority w:val="99"/>
    <w:rPr>
      <w:rFonts w:ascii="Calibri" w:hAnsi="Calibri"/>
      <w:sz w:val="18"/>
      <w:szCs w:val="18"/>
    </w:rPr>
  </w:style>
  <w:style w:type="character" w:customStyle="1" w:styleId="15">
    <w:name w:val="页脚 字符"/>
    <w:basedOn w:val="10"/>
    <w:link w:val="5"/>
    <w:uiPriority w:val="99"/>
    <w:rPr>
      <w:rFonts w:ascii="Calibri" w:hAnsi="Calibri"/>
      <w:sz w:val="18"/>
      <w:szCs w:val="18"/>
    </w:rPr>
  </w:style>
  <w:style w:type="character" w:customStyle="1" w:styleId="16">
    <w:name w:val="标题 字符"/>
    <w:basedOn w:val="10"/>
    <w:link w:val="8"/>
    <w:uiPriority w:val="10"/>
    <w:rPr>
      <w:rFonts w:asciiTheme="majorHAnsi" w:hAnsiTheme="majorHAnsi" w:cstheme="majorBidi"/>
      <w:b/>
      <w:bCs/>
      <w:sz w:val="32"/>
      <w:szCs w:val="32"/>
    </w:rPr>
  </w:style>
  <w:style w:type="paragraph" w:customStyle="1" w:styleId="17">
    <w:name w:val="列出段落1"/>
    <w:basedOn w:val="1"/>
    <w:uiPriority w:val="99"/>
    <w:pPr>
      <w:ind w:firstLine="200" w:firstLineChars="200"/>
    </w:pPr>
  </w:style>
  <w:style w:type="paragraph" w:customStyle="1" w:styleId="18">
    <w:name w:val="列出段落11"/>
    <w:next w:val="6"/>
    <w:qFormat/>
    <w:uiPriority w:val="99"/>
    <w:pPr>
      <w:widowControl w:val="0"/>
      <w:ind w:firstLine="200" w:firstLineChars="200"/>
      <w:jc w:val="both"/>
    </w:pPr>
    <w:rPr>
      <w:rFonts w:ascii="Calibri" w:hAnsi="Calibri" w:eastAsia="宋体" w:cs="Arial"/>
      <w:kern w:val="2"/>
      <w:sz w:val="21"/>
      <w:szCs w:val="22"/>
      <w:lang w:val="en-US" w:eastAsia="zh-CN" w:bidi="ar-SA"/>
    </w:rPr>
  </w:style>
  <w:style w:type="paragraph" w:customStyle="1" w:styleId="19">
    <w:name w:val="列出段落2"/>
    <w:basedOn w:val="1"/>
    <w:uiPriority w:val="99"/>
    <w:pPr>
      <w:ind w:firstLine="200" w:firstLineChars="200"/>
    </w:pPr>
  </w:style>
  <w:style w:type="paragraph" w:styleId="20">
    <w:name w:val="List Paragraph"/>
    <w:basedOn w:val="1"/>
    <w:qFormat/>
    <w:uiPriority w:val="99"/>
    <w:pPr>
      <w:ind w:firstLine="420" w:firstLineChars="200"/>
    </w:pPr>
  </w:style>
  <w:style w:type="character" w:customStyle="1" w:styleId="21">
    <w:name w:val="批注框文本 字符"/>
    <w:basedOn w:val="10"/>
    <w:link w:val="4"/>
    <w:semiHidden/>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49855-39B7-4743-88C4-F48729E79E65}">
  <ds:schemaRefs/>
</ds:datastoreItem>
</file>

<file path=docProps/app.xml><?xml version="1.0" encoding="utf-8"?>
<Properties xmlns="http://schemas.openxmlformats.org/officeDocument/2006/extended-properties" xmlns:vt="http://schemas.openxmlformats.org/officeDocument/2006/docPropsVTypes">
  <Template>Normal</Template>
  <Pages>4</Pages>
  <Words>245</Words>
  <Characters>1398</Characters>
  <Lines>11</Lines>
  <Paragraphs>3</Paragraphs>
  <TotalTime>4</TotalTime>
  <ScaleCrop>false</ScaleCrop>
  <LinksUpToDate>false</LinksUpToDate>
  <CharactersWithSpaces>1640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2022-09-21T01:59:00Z</dcterms:created>
  <dc:creator>Administrator</dc:creator>
  <cp:lastModifiedBy>哲Ge</cp:lastModifiedBy>
  <cp:lastPrinted>2020-03-02T05:41:00Z</cp:lastPrinted>
  <dcterms:modified xsi:type="dcterms:W3CDTF">2023-11-20T02:44:28Z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F52FD1F1D6514E25A29D32B104FE7562_12</vt:lpwstr>
  </property>
</Properties>
</file>